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BD" w:rsidRPr="007E76BD" w:rsidRDefault="007E76BD" w:rsidP="007E76BD">
      <w:pPr>
        <w:shd w:val="clear" w:color="auto" w:fill="FCFCF9"/>
        <w:spacing w:before="185" w:after="315" w:line="312" w:lineRule="atLeast"/>
        <w:textAlignment w:val="baseline"/>
        <w:outlineLvl w:val="1"/>
        <w:rPr>
          <w:rFonts w:ascii="Tahoma" w:eastAsia="Times New Roman" w:hAnsi="Tahoma" w:cs="Times New Roman"/>
          <w:caps/>
          <w:color w:val="1C6EA1"/>
          <w:sz w:val="40"/>
          <w:szCs w:val="40"/>
        </w:rPr>
      </w:pPr>
      <w:r w:rsidRPr="007E76BD">
        <w:rPr>
          <w:rFonts w:ascii="Tahoma" w:eastAsia="Times New Roman" w:hAnsi="Tahoma" w:cs="Times New Roman"/>
          <w:caps/>
          <w:color w:val="1C6EA1"/>
          <w:sz w:val="40"/>
          <w:szCs w:val="40"/>
        </w:rPr>
        <w:t>TEN TIPS FOR EFFECTIVE CLASSROOM MANAGEMENT</w:t>
      </w:r>
      <w:r>
        <w:rPr>
          <w:rFonts w:ascii="Tahoma" w:eastAsia="Times New Roman" w:hAnsi="Tahoma" w:cs="Times New Roman"/>
          <w:caps/>
          <w:color w:val="1C6EA1"/>
          <w:sz w:val="40"/>
          <w:szCs w:val="40"/>
        </w:rPr>
        <w:t xml:space="preserve"> </w:t>
      </w:r>
      <w:r w:rsidRPr="007E76BD">
        <w:rPr>
          <w:rFonts w:ascii="Arial" w:hAnsi="Arial" w:cs="Times New Roman"/>
          <w:color w:val="424647"/>
          <w:sz w:val="20"/>
          <w:szCs w:val="20"/>
        </w:rPr>
        <w:br/>
      </w:r>
      <w:r>
        <w:rPr>
          <w:rFonts w:ascii="Arial" w:hAnsi="Arial" w:cs="Times New Roman"/>
          <w:i/>
          <w:color w:val="424647"/>
          <w:sz w:val="20"/>
          <w:szCs w:val="20"/>
        </w:rPr>
        <w:t xml:space="preserve">Communicator, </w:t>
      </w:r>
      <w:bookmarkStart w:id="0" w:name="_GoBack"/>
      <w:bookmarkEnd w:id="0"/>
      <w:r w:rsidRPr="007E76BD">
        <w:rPr>
          <w:rFonts w:ascii="Arial" w:hAnsi="Arial" w:cs="Times New Roman"/>
          <w:color w:val="424647"/>
          <w:sz w:val="20"/>
          <w:szCs w:val="20"/>
        </w:rPr>
        <w:t>February 2014, Volume 37, Issue 6</w:t>
      </w:r>
      <w:r>
        <w:rPr>
          <w:rFonts w:ascii="Arial" w:hAnsi="Arial" w:cs="Times New Roman"/>
          <w:color w:val="424647"/>
          <w:sz w:val="20"/>
          <w:szCs w:val="20"/>
        </w:rPr>
        <w:t xml:space="preserve"> </w:t>
      </w:r>
    </w:p>
    <w:p w:rsidR="007E76BD" w:rsidRPr="007E76BD" w:rsidRDefault="007E76BD" w:rsidP="007E76BD">
      <w:pPr>
        <w:spacing w:after="240" w:line="360" w:lineRule="atLeast"/>
        <w:textAlignment w:val="baseline"/>
        <w:rPr>
          <w:rFonts w:ascii="Arial" w:hAnsi="Arial" w:cs="Times New Roman"/>
          <w:color w:val="424647"/>
          <w:sz w:val="20"/>
          <w:szCs w:val="20"/>
        </w:rPr>
      </w:pPr>
      <w:r w:rsidRPr="007E76BD">
        <w:rPr>
          <w:rFonts w:ascii="Arial" w:hAnsi="Arial" w:cs="Times New Roman"/>
          <w:color w:val="424647"/>
          <w:sz w:val="20"/>
          <w:szCs w:val="20"/>
        </w:rPr>
        <w:t>Keeping a classroom under control is often a teacher’s biggest challenge—but a new report suggests that teacher preparation programs aren’t doing enough to help aspiring teachers learn classroom management.</w:t>
      </w:r>
    </w:p>
    <w:p w:rsidR="007E76BD" w:rsidRPr="007E76BD" w:rsidRDefault="007E76BD" w:rsidP="007E76BD">
      <w:pPr>
        <w:spacing w:line="360" w:lineRule="atLeast"/>
        <w:textAlignment w:val="baseline"/>
        <w:rPr>
          <w:rFonts w:ascii="Arial" w:hAnsi="Arial" w:cs="Times New Roman"/>
          <w:color w:val="424647"/>
          <w:sz w:val="20"/>
          <w:szCs w:val="20"/>
        </w:rPr>
      </w:pPr>
      <w:r w:rsidRPr="007E76BD">
        <w:rPr>
          <w:rFonts w:ascii="Arial" w:hAnsi="Arial" w:cs="Times New Roman"/>
          <w:color w:val="424647"/>
          <w:sz w:val="20"/>
          <w:szCs w:val="20"/>
        </w:rPr>
        <w:t>The National Council on Teacher Quality’s (NCTQ) December 2013 report, </w:t>
      </w:r>
      <w:r w:rsidRPr="007E76BD">
        <w:rPr>
          <w:rFonts w:ascii="Arial" w:hAnsi="Arial" w:cs="Times New Roman"/>
          <w:color w:val="424647"/>
          <w:sz w:val="20"/>
          <w:szCs w:val="20"/>
        </w:rPr>
        <w:fldChar w:fldCharType="begin"/>
      </w:r>
      <w:r w:rsidRPr="007E76BD">
        <w:rPr>
          <w:rFonts w:ascii="Arial" w:hAnsi="Arial" w:cs="Times New Roman"/>
          <w:color w:val="424647"/>
          <w:sz w:val="20"/>
          <w:szCs w:val="20"/>
        </w:rPr>
        <w:instrText xml:space="preserve"> HYPERLINK "http://www.nctq.org/dmsView/Future_Teachers_Classroom_Management_NCTQ_Report" \t "_blank" </w:instrText>
      </w:r>
      <w:r w:rsidRPr="007E76BD">
        <w:rPr>
          <w:rFonts w:ascii="Arial" w:hAnsi="Arial" w:cs="Times New Roman"/>
          <w:color w:val="424647"/>
          <w:sz w:val="20"/>
          <w:szCs w:val="20"/>
        </w:rPr>
      </w:r>
      <w:r w:rsidRPr="007E76BD">
        <w:rPr>
          <w:rFonts w:ascii="Arial" w:hAnsi="Arial" w:cs="Times New Roman"/>
          <w:color w:val="424647"/>
          <w:sz w:val="20"/>
          <w:szCs w:val="20"/>
        </w:rPr>
        <w:fldChar w:fldCharType="separate"/>
      </w:r>
      <w:r w:rsidRPr="007E76BD">
        <w:rPr>
          <w:rFonts w:ascii="inherit" w:hAnsi="inherit" w:cs="Times New Roman"/>
          <w:color w:val="1C6EA1"/>
          <w:sz w:val="20"/>
          <w:szCs w:val="20"/>
        </w:rPr>
        <w:t>“Training our future teachers: Classroom Management”</w:t>
      </w:r>
      <w:r w:rsidRPr="007E76BD">
        <w:rPr>
          <w:rFonts w:ascii="Arial" w:hAnsi="Arial" w:cs="Times New Roman"/>
          <w:color w:val="424647"/>
          <w:sz w:val="20"/>
          <w:szCs w:val="20"/>
        </w:rPr>
        <w:fldChar w:fldCharType="end"/>
      </w:r>
      <w:r w:rsidRPr="007E76BD">
        <w:rPr>
          <w:rFonts w:ascii="Arial" w:hAnsi="Arial" w:cs="Times New Roman"/>
          <w:color w:val="424647"/>
          <w:sz w:val="20"/>
          <w:szCs w:val="20"/>
        </w:rPr>
        <w:t> argues that many of the nation’s teacher preparation programs provide inadequate training in proper classroom management techniques. The report cites research that states over 40 percent of new teachers felt either “not at all prepared,” or “only somewhat prepared” to handle classroom management and discipline.</w:t>
      </w:r>
    </w:p>
    <w:p w:rsidR="007E76BD" w:rsidRPr="007E76BD" w:rsidRDefault="007E76BD" w:rsidP="007E76BD">
      <w:pPr>
        <w:spacing w:after="240" w:line="360" w:lineRule="atLeast"/>
        <w:textAlignment w:val="baseline"/>
        <w:rPr>
          <w:rFonts w:ascii="Arial" w:hAnsi="Arial" w:cs="Times New Roman"/>
          <w:color w:val="424647"/>
          <w:sz w:val="20"/>
          <w:szCs w:val="20"/>
        </w:rPr>
      </w:pPr>
      <w:r w:rsidRPr="007E76BD">
        <w:rPr>
          <w:rFonts w:ascii="Arial" w:hAnsi="Arial" w:cs="Times New Roman"/>
          <w:color w:val="424647"/>
          <w:sz w:val="20"/>
          <w:szCs w:val="20"/>
        </w:rPr>
        <w:t>Part of the problem stems from the assumption that instructional virtuosity will erase the need for defined classroom management strategies. However, this way of thinking ignores how classroom management strategies can enhance teaching at every level.</w:t>
      </w:r>
    </w:p>
    <w:p w:rsidR="007E76BD" w:rsidRPr="007E76BD" w:rsidRDefault="007E76BD" w:rsidP="007E76BD">
      <w:pPr>
        <w:spacing w:after="240" w:line="360" w:lineRule="atLeast"/>
        <w:textAlignment w:val="baseline"/>
        <w:rPr>
          <w:rFonts w:ascii="Arial" w:hAnsi="Arial" w:cs="Times New Roman"/>
          <w:color w:val="424647"/>
          <w:sz w:val="20"/>
          <w:szCs w:val="20"/>
        </w:rPr>
      </w:pPr>
      <w:r w:rsidRPr="007E76BD">
        <w:rPr>
          <w:rFonts w:ascii="Arial" w:hAnsi="Arial" w:cs="Times New Roman"/>
          <w:color w:val="424647"/>
          <w:sz w:val="20"/>
          <w:szCs w:val="20"/>
        </w:rPr>
        <w:t xml:space="preserve">NCTQ makes five research-based recommendations on what strategies should be taught in teacher preparation programs. </w:t>
      </w:r>
      <w:proofErr w:type="gramStart"/>
      <w:r w:rsidRPr="007E76BD">
        <w:rPr>
          <w:rFonts w:ascii="Arial" w:hAnsi="Arial" w:cs="Times New Roman"/>
          <w:color w:val="424647"/>
          <w:sz w:val="20"/>
          <w:szCs w:val="20"/>
        </w:rPr>
        <w:t>These strategies should be considered equally by principals who want to encourage better classroom management among their own teachers</w:t>
      </w:r>
      <w:proofErr w:type="gramEnd"/>
      <w:r w:rsidRPr="007E76BD">
        <w:rPr>
          <w:rFonts w:ascii="Arial" w:hAnsi="Arial" w:cs="Times New Roman"/>
          <w:color w:val="424647"/>
          <w:sz w:val="20"/>
          <w:szCs w:val="20"/>
        </w:rPr>
        <w:t>:</w:t>
      </w:r>
    </w:p>
    <w:p w:rsidR="007E76BD" w:rsidRPr="007E76BD" w:rsidRDefault="007E76BD" w:rsidP="007E76BD">
      <w:pPr>
        <w:numPr>
          <w:ilvl w:val="0"/>
          <w:numId w:val="1"/>
        </w:numPr>
        <w:spacing w:line="360" w:lineRule="atLeast"/>
        <w:ind w:left="0"/>
        <w:textAlignment w:val="baseline"/>
        <w:rPr>
          <w:rFonts w:ascii="inherit" w:eastAsia="Times New Roman" w:hAnsi="inherit" w:cs="Times New Roman"/>
          <w:color w:val="424647"/>
          <w:sz w:val="18"/>
          <w:szCs w:val="18"/>
        </w:rPr>
      </w:pPr>
      <w:r w:rsidRPr="007E76BD">
        <w:rPr>
          <w:rFonts w:ascii="inherit" w:eastAsia="Times New Roman" w:hAnsi="inherit" w:cs="Times New Roman"/>
          <w:b/>
          <w:bCs/>
          <w:color w:val="424647"/>
          <w:sz w:val="18"/>
          <w:szCs w:val="18"/>
        </w:rPr>
        <w:t>Rules. </w:t>
      </w:r>
      <w:r w:rsidRPr="007E76BD">
        <w:rPr>
          <w:rFonts w:ascii="inherit" w:eastAsia="Times New Roman" w:hAnsi="inherit" w:cs="Times New Roman"/>
          <w:color w:val="424647"/>
          <w:sz w:val="18"/>
          <w:szCs w:val="18"/>
        </w:rPr>
        <w:t>Teachers need to be explicit about what their expectations are for student behavior in the classroom. The rules should be taught and applied in a fair and consistent manner.</w:t>
      </w:r>
    </w:p>
    <w:p w:rsidR="007E76BD" w:rsidRPr="007E76BD" w:rsidRDefault="007E76BD" w:rsidP="007E76BD">
      <w:pPr>
        <w:numPr>
          <w:ilvl w:val="0"/>
          <w:numId w:val="1"/>
        </w:numPr>
        <w:spacing w:line="360" w:lineRule="atLeast"/>
        <w:ind w:left="0"/>
        <w:textAlignment w:val="baseline"/>
        <w:rPr>
          <w:rFonts w:ascii="inherit" w:eastAsia="Times New Roman" w:hAnsi="inherit" w:cs="Times New Roman"/>
          <w:color w:val="424647"/>
          <w:sz w:val="18"/>
          <w:szCs w:val="18"/>
        </w:rPr>
      </w:pPr>
      <w:r w:rsidRPr="007E76BD">
        <w:rPr>
          <w:rFonts w:ascii="inherit" w:eastAsia="Times New Roman" w:hAnsi="inherit" w:cs="Times New Roman"/>
          <w:b/>
          <w:bCs/>
          <w:color w:val="424647"/>
          <w:sz w:val="18"/>
          <w:szCs w:val="18"/>
        </w:rPr>
        <w:t>Routines.</w:t>
      </w:r>
      <w:r w:rsidRPr="007E76BD">
        <w:rPr>
          <w:rFonts w:ascii="inherit" w:eastAsia="Times New Roman" w:hAnsi="inherit" w:cs="Times New Roman"/>
          <w:color w:val="424647"/>
          <w:sz w:val="18"/>
          <w:szCs w:val="18"/>
        </w:rPr>
        <w:t xml:space="preserve"> Routines and procedures let students know how to act during class activities, such as group work or handing in homework. Momentum for instruction is also </w:t>
      </w:r>
      <w:proofErr w:type="gramStart"/>
      <w:r w:rsidRPr="007E76BD">
        <w:rPr>
          <w:rFonts w:ascii="inherit" w:eastAsia="Times New Roman" w:hAnsi="inherit" w:cs="Times New Roman"/>
          <w:color w:val="424647"/>
          <w:sz w:val="18"/>
          <w:szCs w:val="18"/>
        </w:rPr>
        <w:t>key</w:t>
      </w:r>
      <w:proofErr w:type="gramEnd"/>
      <w:r w:rsidRPr="007E76BD">
        <w:rPr>
          <w:rFonts w:ascii="inherit" w:eastAsia="Times New Roman" w:hAnsi="inherit" w:cs="Times New Roman"/>
          <w:color w:val="424647"/>
          <w:sz w:val="18"/>
          <w:szCs w:val="18"/>
        </w:rPr>
        <w:t xml:space="preserve"> in managing class time and materials, especially during transition between activities.</w:t>
      </w:r>
    </w:p>
    <w:p w:rsidR="007E76BD" w:rsidRPr="007E76BD" w:rsidRDefault="007E76BD" w:rsidP="007E76BD">
      <w:pPr>
        <w:numPr>
          <w:ilvl w:val="0"/>
          <w:numId w:val="1"/>
        </w:numPr>
        <w:spacing w:line="360" w:lineRule="atLeast"/>
        <w:ind w:left="0"/>
        <w:textAlignment w:val="baseline"/>
        <w:rPr>
          <w:rFonts w:ascii="inherit" w:eastAsia="Times New Roman" w:hAnsi="inherit" w:cs="Times New Roman"/>
          <w:color w:val="424647"/>
          <w:sz w:val="18"/>
          <w:szCs w:val="18"/>
        </w:rPr>
      </w:pPr>
      <w:r w:rsidRPr="007E76BD">
        <w:rPr>
          <w:rFonts w:ascii="inherit" w:eastAsia="Times New Roman" w:hAnsi="inherit" w:cs="Times New Roman"/>
          <w:b/>
          <w:bCs/>
          <w:color w:val="424647"/>
          <w:sz w:val="18"/>
          <w:szCs w:val="18"/>
        </w:rPr>
        <w:t>Praise.</w:t>
      </w:r>
      <w:r w:rsidRPr="007E76BD">
        <w:rPr>
          <w:rFonts w:ascii="inherit" w:eastAsia="Times New Roman" w:hAnsi="inherit" w:cs="Times New Roman"/>
          <w:color w:val="424647"/>
          <w:sz w:val="18"/>
          <w:szCs w:val="18"/>
        </w:rPr>
        <w:t> Positive behavior should be reinforced with praise or other rewards. Praise itself should be specific and sincere, and should focus on congratulating behaviors, rather than the individual.</w:t>
      </w:r>
    </w:p>
    <w:p w:rsidR="007E76BD" w:rsidRPr="007E76BD" w:rsidRDefault="007E76BD" w:rsidP="007E76BD">
      <w:pPr>
        <w:numPr>
          <w:ilvl w:val="0"/>
          <w:numId w:val="1"/>
        </w:numPr>
        <w:spacing w:line="360" w:lineRule="atLeast"/>
        <w:ind w:left="0"/>
        <w:textAlignment w:val="baseline"/>
        <w:rPr>
          <w:rFonts w:ascii="inherit" w:eastAsia="Times New Roman" w:hAnsi="inherit" w:cs="Times New Roman"/>
          <w:color w:val="424647"/>
          <w:sz w:val="18"/>
          <w:szCs w:val="18"/>
        </w:rPr>
      </w:pPr>
      <w:r w:rsidRPr="007E76BD">
        <w:rPr>
          <w:rFonts w:ascii="inherit" w:eastAsia="Times New Roman" w:hAnsi="inherit" w:cs="Times New Roman"/>
          <w:b/>
          <w:bCs/>
          <w:color w:val="424647"/>
          <w:sz w:val="18"/>
          <w:szCs w:val="18"/>
        </w:rPr>
        <w:t>Misbehavior. </w:t>
      </w:r>
      <w:r w:rsidRPr="007E76BD">
        <w:rPr>
          <w:rFonts w:ascii="inherit" w:eastAsia="Times New Roman" w:hAnsi="inherit" w:cs="Times New Roman"/>
          <w:color w:val="424647"/>
          <w:sz w:val="18"/>
          <w:szCs w:val="18"/>
        </w:rPr>
        <w:t>Noncompliance with class rules and expectations should have consequences. It’s essential, however, that these consequences not only have varying levels of severity, but that they are applied consistently.</w:t>
      </w:r>
    </w:p>
    <w:p w:rsidR="007E76BD" w:rsidRPr="007E76BD" w:rsidRDefault="007E76BD" w:rsidP="007E76BD">
      <w:pPr>
        <w:numPr>
          <w:ilvl w:val="0"/>
          <w:numId w:val="1"/>
        </w:numPr>
        <w:spacing w:line="360" w:lineRule="atLeast"/>
        <w:ind w:left="0"/>
        <w:textAlignment w:val="baseline"/>
        <w:rPr>
          <w:rFonts w:ascii="inherit" w:eastAsia="Times New Roman" w:hAnsi="inherit" w:cs="Times New Roman"/>
          <w:color w:val="424647"/>
          <w:sz w:val="18"/>
          <w:szCs w:val="18"/>
        </w:rPr>
      </w:pPr>
      <w:r w:rsidRPr="007E76BD">
        <w:rPr>
          <w:rFonts w:ascii="inherit" w:eastAsia="Times New Roman" w:hAnsi="inherit" w:cs="Times New Roman"/>
          <w:b/>
          <w:bCs/>
          <w:color w:val="424647"/>
          <w:sz w:val="18"/>
          <w:szCs w:val="18"/>
        </w:rPr>
        <w:t>Engagement.</w:t>
      </w:r>
      <w:r w:rsidRPr="007E76BD">
        <w:rPr>
          <w:rFonts w:ascii="inherit" w:eastAsia="Times New Roman" w:hAnsi="inherit" w:cs="Times New Roman"/>
          <w:color w:val="424647"/>
          <w:sz w:val="18"/>
          <w:szCs w:val="18"/>
        </w:rPr>
        <w:t> High-quality instruction should engage students, and the more engaged the student, the less likely they are to act out. Opportunities for student participation will ensure that students spend more time learning and less time misbehaving.</w:t>
      </w:r>
    </w:p>
    <w:p w:rsidR="007E76BD" w:rsidRPr="007E76BD" w:rsidRDefault="007E76BD" w:rsidP="007E76BD">
      <w:pPr>
        <w:spacing w:after="240" w:line="360" w:lineRule="atLeast"/>
        <w:textAlignment w:val="baseline"/>
        <w:rPr>
          <w:rFonts w:ascii="Arial" w:hAnsi="Arial" w:cs="Times New Roman"/>
          <w:color w:val="424647"/>
          <w:sz w:val="20"/>
          <w:szCs w:val="20"/>
        </w:rPr>
      </w:pPr>
      <w:r w:rsidRPr="007E76BD">
        <w:rPr>
          <w:rFonts w:ascii="Arial" w:hAnsi="Arial" w:cs="Times New Roman"/>
          <w:color w:val="424647"/>
          <w:sz w:val="20"/>
          <w:szCs w:val="20"/>
        </w:rPr>
        <w:t>In addition to these “Big Five” recommendations, the report also identifies a number of strategies that principals and teachers should consider.</w:t>
      </w:r>
    </w:p>
    <w:p w:rsidR="007E76BD" w:rsidRPr="007E76BD" w:rsidRDefault="007E76BD" w:rsidP="007E76BD">
      <w:pPr>
        <w:numPr>
          <w:ilvl w:val="0"/>
          <w:numId w:val="2"/>
        </w:numPr>
        <w:spacing w:line="360" w:lineRule="atLeast"/>
        <w:ind w:left="0"/>
        <w:textAlignment w:val="baseline"/>
        <w:rPr>
          <w:rFonts w:ascii="inherit" w:eastAsia="Times New Roman" w:hAnsi="inherit" w:cs="Times New Roman"/>
          <w:color w:val="424647"/>
          <w:sz w:val="20"/>
          <w:szCs w:val="20"/>
        </w:rPr>
      </w:pPr>
      <w:r w:rsidRPr="007E76BD">
        <w:rPr>
          <w:rFonts w:ascii="inherit" w:eastAsia="Times New Roman" w:hAnsi="inherit" w:cs="Times New Roman"/>
          <w:b/>
          <w:bCs/>
          <w:color w:val="424647"/>
          <w:sz w:val="20"/>
          <w:szCs w:val="20"/>
        </w:rPr>
        <w:lastRenderedPageBreak/>
        <w:t>Manage the physical environment.</w:t>
      </w:r>
      <w:r w:rsidRPr="007E76BD">
        <w:rPr>
          <w:rFonts w:ascii="inherit" w:eastAsia="Times New Roman" w:hAnsi="inherit" w:cs="Times New Roman"/>
          <w:color w:val="424647"/>
          <w:sz w:val="20"/>
          <w:szCs w:val="20"/>
        </w:rPr>
        <w:t> Teachers should be able to see every student, manage traffic flow during transitions, and strategically group desks.</w:t>
      </w:r>
    </w:p>
    <w:p w:rsidR="007E76BD" w:rsidRPr="007E76BD" w:rsidRDefault="007E76BD" w:rsidP="007E76BD">
      <w:pPr>
        <w:numPr>
          <w:ilvl w:val="0"/>
          <w:numId w:val="2"/>
        </w:numPr>
        <w:spacing w:line="360" w:lineRule="atLeast"/>
        <w:ind w:left="0"/>
        <w:textAlignment w:val="baseline"/>
        <w:rPr>
          <w:rFonts w:ascii="inherit" w:eastAsia="Times New Roman" w:hAnsi="inherit" w:cs="Times New Roman"/>
          <w:color w:val="424647"/>
          <w:sz w:val="20"/>
          <w:szCs w:val="20"/>
        </w:rPr>
      </w:pPr>
      <w:r w:rsidRPr="007E76BD">
        <w:rPr>
          <w:rFonts w:ascii="inherit" w:eastAsia="Times New Roman" w:hAnsi="inherit" w:cs="Times New Roman"/>
          <w:b/>
          <w:bCs/>
          <w:color w:val="424647"/>
          <w:sz w:val="20"/>
          <w:szCs w:val="20"/>
        </w:rPr>
        <w:t>Motivate students.</w:t>
      </w:r>
      <w:r w:rsidRPr="007E76BD">
        <w:rPr>
          <w:rFonts w:ascii="inherit" w:eastAsia="Times New Roman" w:hAnsi="inherit" w:cs="Times New Roman"/>
          <w:color w:val="424647"/>
          <w:sz w:val="20"/>
          <w:szCs w:val="20"/>
        </w:rPr>
        <w:t> Different from engagement, motivation focuses on whether or not students want to learn or follow rules.</w:t>
      </w:r>
    </w:p>
    <w:p w:rsidR="007E76BD" w:rsidRPr="007E76BD" w:rsidRDefault="007E76BD" w:rsidP="007E76BD">
      <w:pPr>
        <w:numPr>
          <w:ilvl w:val="0"/>
          <w:numId w:val="2"/>
        </w:numPr>
        <w:spacing w:line="360" w:lineRule="atLeast"/>
        <w:ind w:left="0"/>
        <w:textAlignment w:val="baseline"/>
        <w:rPr>
          <w:rFonts w:ascii="inherit" w:eastAsia="Times New Roman" w:hAnsi="inherit" w:cs="Times New Roman"/>
          <w:color w:val="424647"/>
          <w:sz w:val="20"/>
          <w:szCs w:val="20"/>
        </w:rPr>
      </w:pPr>
      <w:r w:rsidRPr="007E76BD">
        <w:rPr>
          <w:rFonts w:ascii="inherit" w:eastAsia="Times New Roman" w:hAnsi="inherit" w:cs="Times New Roman"/>
          <w:b/>
          <w:bCs/>
          <w:color w:val="424647"/>
          <w:sz w:val="20"/>
          <w:szCs w:val="20"/>
        </w:rPr>
        <w:t>Use the least intrusive means.</w:t>
      </w:r>
      <w:r w:rsidRPr="007E76BD">
        <w:rPr>
          <w:rFonts w:ascii="inherit" w:eastAsia="Times New Roman" w:hAnsi="inherit" w:cs="Times New Roman"/>
          <w:color w:val="424647"/>
          <w:sz w:val="20"/>
          <w:szCs w:val="20"/>
        </w:rPr>
        <w:t> Subtle techniques for misbehavior include proximity, rule reminders, giving a “teacher look,” or redirecting student’s attention back to the lesson with a substantive question.</w:t>
      </w:r>
    </w:p>
    <w:p w:rsidR="007E76BD" w:rsidRPr="007E76BD" w:rsidRDefault="007E76BD" w:rsidP="007E76BD">
      <w:pPr>
        <w:numPr>
          <w:ilvl w:val="0"/>
          <w:numId w:val="2"/>
        </w:numPr>
        <w:spacing w:line="360" w:lineRule="atLeast"/>
        <w:ind w:left="0"/>
        <w:textAlignment w:val="baseline"/>
        <w:rPr>
          <w:rFonts w:ascii="inherit" w:eastAsia="Times New Roman" w:hAnsi="inherit" w:cs="Times New Roman"/>
          <w:color w:val="424647"/>
          <w:sz w:val="20"/>
          <w:szCs w:val="20"/>
        </w:rPr>
      </w:pPr>
      <w:r w:rsidRPr="007E76BD">
        <w:rPr>
          <w:rFonts w:ascii="inherit" w:eastAsia="Times New Roman" w:hAnsi="inherit" w:cs="Times New Roman"/>
          <w:b/>
          <w:bCs/>
          <w:color w:val="424647"/>
          <w:sz w:val="20"/>
          <w:szCs w:val="20"/>
        </w:rPr>
        <w:t>Parent and community involvement.</w:t>
      </w:r>
      <w:r w:rsidRPr="007E76BD">
        <w:rPr>
          <w:rFonts w:ascii="inherit" w:eastAsia="Times New Roman" w:hAnsi="inherit" w:cs="Times New Roman"/>
          <w:color w:val="424647"/>
          <w:sz w:val="20"/>
          <w:szCs w:val="20"/>
        </w:rPr>
        <w:t> Making phone calls home, meeting with parents, or other forms of stakeholder engagement can help with a student’s behavior</w:t>
      </w:r>
    </w:p>
    <w:p w:rsidR="007E76BD" w:rsidRPr="007E76BD" w:rsidRDefault="007E76BD" w:rsidP="007E76BD">
      <w:pPr>
        <w:numPr>
          <w:ilvl w:val="0"/>
          <w:numId w:val="2"/>
        </w:numPr>
        <w:spacing w:line="360" w:lineRule="atLeast"/>
        <w:ind w:left="0"/>
        <w:textAlignment w:val="baseline"/>
        <w:rPr>
          <w:rFonts w:ascii="inherit" w:eastAsia="Times New Roman" w:hAnsi="inherit" w:cs="Times New Roman"/>
          <w:color w:val="424647"/>
          <w:sz w:val="20"/>
          <w:szCs w:val="20"/>
        </w:rPr>
      </w:pPr>
      <w:r w:rsidRPr="007E76BD">
        <w:rPr>
          <w:rFonts w:ascii="inherit" w:eastAsia="Times New Roman" w:hAnsi="inherit" w:cs="Times New Roman"/>
          <w:b/>
          <w:bCs/>
          <w:color w:val="424647"/>
          <w:sz w:val="20"/>
          <w:szCs w:val="20"/>
        </w:rPr>
        <w:t>Social/emotional/cultural sensitivity.</w:t>
      </w:r>
      <w:r w:rsidRPr="007E76BD">
        <w:rPr>
          <w:rFonts w:ascii="inherit" w:eastAsia="Times New Roman" w:hAnsi="inherit" w:cs="Times New Roman"/>
          <w:color w:val="424647"/>
          <w:sz w:val="20"/>
          <w:szCs w:val="20"/>
        </w:rPr>
        <w:t> Teachers who understand students’ social, emotional, and cultural backgrounds are better classroom managers.</w:t>
      </w:r>
    </w:p>
    <w:p w:rsidR="007E76BD" w:rsidRPr="007E76BD" w:rsidRDefault="007E76BD" w:rsidP="007E76BD">
      <w:pPr>
        <w:spacing w:after="240" w:line="360" w:lineRule="atLeast"/>
        <w:textAlignment w:val="baseline"/>
        <w:rPr>
          <w:rFonts w:ascii="Arial" w:hAnsi="Arial" w:cs="Times New Roman"/>
          <w:color w:val="424647"/>
          <w:sz w:val="20"/>
          <w:szCs w:val="20"/>
        </w:rPr>
      </w:pPr>
      <w:r w:rsidRPr="007E76BD">
        <w:rPr>
          <w:rFonts w:ascii="Arial" w:hAnsi="Arial" w:cs="Times New Roman"/>
          <w:color w:val="424647"/>
          <w:sz w:val="20"/>
          <w:szCs w:val="20"/>
        </w:rPr>
        <w:t>Combined with the “Big Five,” these classroom management strategies can help teachers stay in control and spend more time teaching. By encouraging these skills in new teachers, principals can help fill the gap between preparation and practice.</w:t>
      </w:r>
    </w:p>
    <w:p w:rsidR="007E76BD" w:rsidRPr="007E76BD" w:rsidRDefault="007E76BD" w:rsidP="007E76BD">
      <w:pPr>
        <w:spacing w:line="360" w:lineRule="atLeast"/>
        <w:textAlignment w:val="baseline"/>
        <w:rPr>
          <w:rFonts w:ascii="Arial" w:hAnsi="Arial" w:cs="Times New Roman"/>
          <w:color w:val="424647"/>
          <w:sz w:val="20"/>
          <w:szCs w:val="20"/>
        </w:rPr>
      </w:pPr>
      <w:r w:rsidRPr="007E76BD">
        <w:rPr>
          <w:rFonts w:ascii="inherit" w:hAnsi="inherit" w:cs="Times New Roman"/>
          <w:i/>
          <w:iCs/>
          <w:color w:val="424647"/>
          <w:sz w:val="20"/>
          <w:szCs w:val="20"/>
        </w:rPr>
        <w:t>—</w:t>
      </w:r>
      <w:r w:rsidRPr="007E76BD">
        <w:rPr>
          <w:rFonts w:ascii="inherit" w:hAnsi="inherit" w:cs="Times New Roman"/>
          <w:b/>
          <w:bCs/>
          <w:i/>
          <w:iCs/>
          <w:color w:val="424647"/>
          <w:sz w:val="20"/>
          <w:szCs w:val="20"/>
        </w:rPr>
        <w:t>Ned Colbert</w:t>
      </w:r>
      <w:r w:rsidRPr="007E76BD">
        <w:rPr>
          <w:rFonts w:ascii="inherit" w:hAnsi="inherit" w:cs="Times New Roman"/>
          <w:i/>
          <w:iCs/>
          <w:color w:val="424647"/>
          <w:sz w:val="20"/>
          <w:szCs w:val="20"/>
        </w:rPr>
        <w:t>, NAESP communications assistant</w:t>
      </w:r>
    </w:p>
    <w:p w:rsidR="007E76BD" w:rsidRPr="007E76BD" w:rsidRDefault="007E76BD" w:rsidP="007E76BD">
      <w:pPr>
        <w:spacing w:after="240" w:line="360" w:lineRule="atLeast"/>
        <w:textAlignment w:val="baseline"/>
        <w:rPr>
          <w:rFonts w:ascii="Arial" w:hAnsi="Arial" w:cs="Times New Roman"/>
          <w:color w:val="424647"/>
          <w:sz w:val="20"/>
          <w:szCs w:val="20"/>
        </w:rPr>
      </w:pPr>
      <w:r w:rsidRPr="007E76BD">
        <w:rPr>
          <w:rFonts w:ascii="Arial" w:hAnsi="Arial" w:cs="Times New Roman"/>
          <w:color w:val="424647"/>
          <w:sz w:val="20"/>
          <w:szCs w:val="20"/>
        </w:rPr>
        <w:t>---</w:t>
      </w:r>
    </w:p>
    <w:p w:rsidR="007E76BD" w:rsidRPr="007E76BD" w:rsidRDefault="007E76BD" w:rsidP="007E76BD">
      <w:pPr>
        <w:spacing w:line="360" w:lineRule="atLeast"/>
        <w:textAlignment w:val="baseline"/>
        <w:rPr>
          <w:rFonts w:ascii="Arial" w:hAnsi="Arial" w:cs="Times New Roman"/>
          <w:color w:val="424647"/>
          <w:sz w:val="20"/>
          <w:szCs w:val="20"/>
        </w:rPr>
      </w:pPr>
      <w:proofErr w:type="gramStart"/>
      <w:r w:rsidRPr="007E76BD">
        <w:rPr>
          <w:rFonts w:ascii="Arial" w:hAnsi="Arial" w:cs="Times New Roman"/>
          <w:color w:val="424647"/>
          <w:sz w:val="20"/>
          <w:szCs w:val="20"/>
        </w:rPr>
        <w:t>Copyright © 2014.</w:t>
      </w:r>
      <w:proofErr w:type="gramEnd"/>
      <w:r w:rsidRPr="007E76BD">
        <w:rPr>
          <w:rFonts w:ascii="Arial" w:hAnsi="Arial" w:cs="Times New Roman"/>
          <w:color w:val="424647"/>
          <w:sz w:val="20"/>
          <w:szCs w:val="20"/>
        </w:rPr>
        <w:t xml:space="preserve"> </w:t>
      </w:r>
      <w:proofErr w:type="gramStart"/>
      <w:r w:rsidRPr="007E76BD">
        <w:rPr>
          <w:rFonts w:ascii="Arial" w:hAnsi="Arial" w:cs="Times New Roman"/>
          <w:color w:val="424647"/>
          <w:sz w:val="20"/>
          <w:szCs w:val="20"/>
        </w:rPr>
        <w:t>National Association of Elementary School Principals.</w:t>
      </w:r>
      <w:proofErr w:type="gramEnd"/>
      <w:r w:rsidRPr="007E76BD">
        <w:rPr>
          <w:rFonts w:ascii="Arial" w:hAnsi="Arial" w:cs="Times New Roman"/>
          <w:color w:val="424647"/>
          <w:sz w:val="20"/>
          <w:szCs w:val="20"/>
        </w:rPr>
        <w:t xml:space="preserve"> No part of the articles in NAESP magazines, newsletters, or website may be reproduced in any medium without the permission of the National Association of Elementary School Principals. For more information, view </w:t>
      </w:r>
      <w:hyperlink r:id="rId6" w:history="1">
        <w:r w:rsidRPr="007E76BD">
          <w:rPr>
            <w:rFonts w:ascii="inherit" w:hAnsi="inherit" w:cs="Times New Roman"/>
            <w:color w:val="1C6EA1"/>
            <w:sz w:val="20"/>
            <w:szCs w:val="20"/>
          </w:rPr>
          <w:t>NAESP's reprint policy</w:t>
        </w:r>
      </w:hyperlink>
    </w:p>
    <w:p w:rsidR="006A7EB0" w:rsidRDefault="006A7EB0"/>
    <w:sectPr w:rsidR="006A7EB0" w:rsidSect="007E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600"/>
    <w:multiLevelType w:val="multilevel"/>
    <w:tmpl w:val="FB10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137DFC"/>
    <w:multiLevelType w:val="multilevel"/>
    <w:tmpl w:val="DD56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BD"/>
    <w:rsid w:val="006A7EB0"/>
    <w:rsid w:val="007E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BD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6B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6BD"/>
    <w:rPr>
      <w:rFonts w:ascii="Times" w:hAnsi="Times"/>
      <w:b/>
      <w:bCs/>
      <w:sz w:val="36"/>
      <w:szCs w:val="36"/>
    </w:rPr>
  </w:style>
  <w:style w:type="paragraph" w:styleId="NormalWeb">
    <w:name w:val="Normal (Web)"/>
    <w:basedOn w:val="Normal"/>
    <w:uiPriority w:val="99"/>
    <w:semiHidden/>
    <w:unhideWhenUsed/>
    <w:rsid w:val="007E76B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E76BD"/>
    <w:rPr>
      <w:i/>
      <w:iCs/>
    </w:rPr>
  </w:style>
  <w:style w:type="character" w:customStyle="1" w:styleId="apple-converted-space">
    <w:name w:val="apple-converted-space"/>
    <w:basedOn w:val="DefaultParagraphFont"/>
    <w:rsid w:val="007E76BD"/>
  </w:style>
  <w:style w:type="character" w:styleId="Hyperlink">
    <w:name w:val="Hyperlink"/>
    <w:basedOn w:val="DefaultParagraphFont"/>
    <w:uiPriority w:val="99"/>
    <w:semiHidden/>
    <w:unhideWhenUsed/>
    <w:rsid w:val="007E76BD"/>
    <w:rPr>
      <w:color w:val="0000FF"/>
      <w:u w:val="single"/>
    </w:rPr>
  </w:style>
  <w:style w:type="character" w:styleId="Strong">
    <w:name w:val="Strong"/>
    <w:basedOn w:val="DefaultParagraphFont"/>
    <w:uiPriority w:val="22"/>
    <w:qFormat/>
    <w:rsid w:val="007E76BD"/>
    <w:rPr>
      <w:b/>
      <w:bCs/>
    </w:rPr>
  </w:style>
  <w:style w:type="paragraph" w:styleId="BalloonText">
    <w:name w:val="Balloon Text"/>
    <w:basedOn w:val="Normal"/>
    <w:link w:val="BalloonTextChar"/>
    <w:uiPriority w:val="99"/>
    <w:semiHidden/>
    <w:unhideWhenUsed/>
    <w:rsid w:val="007E7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6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6B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6BD"/>
    <w:rPr>
      <w:rFonts w:ascii="Times" w:hAnsi="Times"/>
      <w:b/>
      <w:bCs/>
      <w:sz w:val="36"/>
      <w:szCs w:val="36"/>
    </w:rPr>
  </w:style>
  <w:style w:type="paragraph" w:styleId="NormalWeb">
    <w:name w:val="Normal (Web)"/>
    <w:basedOn w:val="Normal"/>
    <w:uiPriority w:val="99"/>
    <w:semiHidden/>
    <w:unhideWhenUsed/>
    <w:rsid w:val="007E76B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E76BD"/>
    <w:rPr>
      <w:i/>
      <w:iCs/>
    </w:rPr>
  </w:style>
  <w:style w:type="character" w:customStyle="1" w:styleId="apple-converted-space">
    <w:name w:val="apple-converted-space"/>
    <w:basedOn w:val="DefaultParagraphFont"/>
    <w:rsid w:val="007E76BD"/>
  </w:style>
  <w:style w:type="character" w:styleId="Hyperlink">
    <w:name w:val="Hyperlink"/>
    <w:basedOn w:val="DefaultParagraphFont"/>
    <w:uiPriority w:val="99"/>
    <w:semiHidden/>
    <w:unhideWhenUsed/>
    <w:rsid w:val="007E76BD"/>
    <w:rPr>
      <w:color w:val="0000FF"/>
      <w:u w:val="single"/>
    </w:rPr>
  </w:style>
  <w:style w:type="character" w:styleId="Strong">
    <w:name w:val="Strong"/>
    <w:basedOn w:val="DefaultParagraphFont"/>
    <w:uiPriority w:val="22"/>
    <w:qFormat/>
    <w:rsid w:val="007E76BD"/>
    <w:rPr>
      <w:b/>
      <w:bCs/>
    </w:rPr>
  </w:style>
  <w:style w:type="paragraph" w:styleId="BalloonText">
    <w:name w:val="Balloon Text"/>
    <w:basedOn w:val="Normal"/>
    <w:link w:val="BalloonTextChar"/>
    <w:uiPriority w:val="99"/>
    <w:semiHidden/>
    <w:unhideWhenUsed/>
    <w:rsid w:val="007E7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6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83527">
      <w:bodyDiv w:val="1"/>
      <w:marLeft w:val="0"/>
      <w:marRight w:val="0"/>
      <w:marTop w:val="0"/>
      <w:marBottom w:val="0"/>
      <w:divBdr>
        <w:top w:val="none" w:sz="0" w:space="0" w:color="auto"/>
        <w:left w:val="none" w:sz="0" w:space="0" w:color="auto"/>
        <w:bottom w:val="none" w:sz="0" w:space="0" w:color="auto"/>
        <w:right w:val="none" w:sz="0" w:space="0" w:color="auto"/>
      </w:divBdr>
      <w:divsChild>
        <w:div w:id="1189028719">
          <w:marLeft w:val="0"/>
          <w:marRight w:val="0"/>
          <w:marTop w:val="0"/>
          <w:marBottom w:val="0"/>
          <w:divBdr>
            <w:top w:val="none" w:sz="0" w:space="0" w:color="auto"/>
            <w:left w:val="none" w:sz="0" w:space="0" w:color="auto"/>
            <w:bottom w:val="none" w:sz="0" w:space="0" w:color="auto"/>
            <w:right w:val="none" w:sz="0" w:space="0" w:color="auto"/>
          </w:divBdr>
          <w:divsChild>
            <w:div w:id="1000740834">
              <w:marLeft w:val="0"/>
              <w:marRight w:val="0"/>
              <w:marTop w:val="0"/>
              <w:marBottom w:val="0"/>
              <w:divBdr>
                <w:top w:val="none" w:sz="0" w:space="0" w:color="auto"/>
                <w:left w:val="none" w:sz="0" w:space="0" w:color="auto"/>
                <w:bottom w:val="none" w:sz="0" w:space="0" w:color="auto"/>
                <w:right w:val="none" w:sz="0" w:space="0" w:color="auto"/>
              </w:divBdr>
              <w:divsChild>
                <w:div w:id="1821994343">
                  <w:marLeft w:val="0"/>
                  <w:marRight w:val="0"/>
                  <w:marTop w:val="0"/>
                  <w:marBottom w:val="0"/>
                  <w:divBdr>
                    <w:top w:val="none" w:sz="0" w:space="0" w:color="auto"/>
                    <w:left w:val="none" w:sz="0" w:space="0" w:color="auto"/>
                    <w:bottom w:val="none" w:sz="0" w:space="0" w:color="auto"/>
                    <w:right w:val="none" w:sz="0" w:space="0" w:color="auto"/>
                  </w:divBdr>
                  <w:divsChild>
                    <w:div w:id="1981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esp.org/resources/1/NAESP_Reprint_Policy.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3450</Characters>
  <Application>Microsoft Macintosh Word</Application>
  <DocSecurity>0</DocSecurity>
  <Lines>28</Lines>
  <Paragraphs>8</Paragraphs>
  <ScaleCrop>false</ScaleCrop>
  <Company>Windom School District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Radeke</dc:creator>
  <cp:keywords/>
  <dc:description/>
  <cp:lastModifiedBy>Melissa Radeke</cp:lastModifiedBy>
  <cp:revision>1</cp:revision>
  <cp:lastPrinted>2016-08-23T14:34:00Z</cp:lastPrinted>
  <dcterms:created xsi:type="dcterms:W3CDTF">2016-08-23T14:33:00Z</dcterms:created>
  <dcterms:modified xsi:type="dcterms:W3CDTF">2016-08-23T14:37:00Z</dcterms:modified>
</cp:coreProperties>
</file>